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62A4" w14:textId="0AE6825C" w:rsidR="00BD5AC9" w:rsidRPr="00E566DE" w:rsidRDefault="004133AB">
      <w:pPr>
        <w:rPr>
          <w:rFonts w:ascii="Yu Gothic UI Light" w:eastAsia="Yu Gothic UI Light" w:hAnsi="Yu Gothic UI Light"/>
          <w:b/>
          <w:bCs/>
          <w:sz w:val="28"/>
          <w:szCs w:val="28"/>
        </w:rPr>
      </w:pPr>
      <w:r w:rsidRPr="00E566DE">
        <w:rPr>
          <w:rFonts w:ascii="Yu Gothic UI Light" w:eastAsia="Yu Gothic UI Light" w:hAnsi="Yu Gothic UI Light"/>
          <w:b/>
          <w:bCs/>
          <w:sz w:val="28"/>
          <w:szCs w:val="28"/>
        </w:rPr>
        <w:t>Franchise Tax Board</w:t>
      </w:r>
    </w:p>
    <w:p w14:paraId="4823CA61" w14:textId="415C40E8" w:rsidR="004133AB" w:rsidRPr="00D27FAA" w:rsidRDefault="004133AB">
      <w:pPr>
        <w:rPr>
          <w:rFonts w:ascii="Yu Gothic UI Light" w:eastAsia="Yu Gothic UI Light" w:hAnsi="Yu Gothic UI Light"/>
        </w:rPr>
      </w:pPr>
      <w:r w:rsidRPr="00D27FAA">
        <w:rPr>
          <w:rFonts w:ascii="Yu Gothic UI Light" w:eastAsia="Yu Gothic UI Light" w:hAnsi="Yu Gothic UI Light"/>
        </w:rPr>
        <w:t xml:space="preserve">Many people assume that once a booster club or parent organization has been exempted from federal income tax it is also exempt from paying California income tax.  </w:t>
      </w:r>
      <w:r w:rsidRPr="007D3DDE">
        <w:rPr>
          <w:rFonts w:ascii="Yu Gothic UI Light" w:eastAsia="Yu Gothic UI Light" w:hAnsi="Yu Gothic UI Light"/>
          <w:b/>
          <w:bCs/>
        </w:rPr>
        <w:t>This is not the case: while California will exempt most organizations that the IRS deems charitable, the organization must first file FTB Form 3500 (Exemption Application) or Form 3500A (Submission of Exemption Request).</w:t>
      </w:r>
      <w:r w:rsidRPr="00D27FAA">
        <w:rPr>
          <w:rFonts w:ascii="Yu Gothic UI Light" w:eastAsia="Yu Gothic UI Light" w:hAnsi="Yu Gothic UI Light"/>
        </w:rPr>
        <w:t xml:space="preserve">  Which form you file depends on whether your club has received a federal determination letter.  It can take up to four months to process, so </w:t>
      </w:r>
      <w:r w:rsidR="0052322B" w:rsidRPr="00D27FAA">
        <w:rPr>
          <w:rFonts w:ascii="Yu Gothic UI Light" w:eastAsia="Yu Gothic UI Light" w:hAnsi="Yu Gothic UI Light"/>
        </w:rPr>
        <w:t>submit it</w:t>
      </w:r>
      <w:r w:rsidRPr="00D27FAA">
        <w:rPr>
          <w:rFonts w:ascii="Yu Gothic UI Light" w:eastAsia="Yu Gothic UI Light" w:hAnsi="Yu Gothic UI Light"/>
        </w:rPr>
        <w:t xml:space="preserve"> early.</w:t>
      </w:r>
    </w:p>
    <w:p w14:paraId="0D23B283" w14:textId="2C8C6C4F" w:rsidR="00C64FB5" w:rsidRPr="00D27FAA" w:rsidRDefault="004133AB">
      <w:pPr>
        <w:rPr>
          <w:rFonts w:ascii="Yu Gothic UI Light" w:eastAsia="Yu Gothic UI Light" w:hAnsi="Yu Gothic UI Light"/>
        </w:rPr>
      </w:pPr>
      <w:r w:rsidRPr="00D27FAA">
        <w:rPr>
          <w:rFonts w:ascii="Yu Gothic UI Light" w:eastAsia="Yu Gothic UI Light" w:hAnsi="Yu Gothic UI Light"/>
        </w:rPr>
        <w:t xml:space="preserve">Once the exemption has been granted, California requires that you file an annual tax return.  Like the IRS, the FTB offers an easy file option for very small </w:t>
      </w:r>
      <w:r w:rsidR="00C64FB5" w:rsidRPr="00D27FAA">
        <w:rPr>
          <w:rFonts w:ascii="Yu Gothic UI Light" w:eastAsia="Yu Gothic UI Light" w:hAnsi="Yu Gothic UI Light"/>
        </w:rPr>
        <w:t xml:space="preserve">nonprofits.  </w:t>
      </w:r>
      <w:r w:rsidR="006616AE" w:rsidRPr="00D27FAA">
        <w:rPr>
          <w:rFonts w:ascii="Yu Gothic UI Light" w:eastAsia="Yu Gothic UI Light" w:hAnsi="Yu Gothic UI Light"/>
        </w:rPr>
        <w:t xml:space="preserve">The Form 199N is </w:t>
      </w:r>
      <w:r w:rsidR="00D14FA6" w:rsidRPr="00D27FAA">
        <w:rPr>
          <w:rFonts w:ascii="Yu Gothic UI Light" w:eastAsia="Yu Gothic UI Light" w:hAnsi="Yu Gothic UI Light"/>
        </w:rPr>
        <w:t xml:space="preserve">a simple online return and no tax preparation software is used to complete it.  </w:t>
      </w:r>
      <w:r w:rsidR="00C64FB5" w:rsidRPr="00D27FAA">
        <w:rPr>
          <w:rFonts w:ascii="Yu Gothic UI Light" w:eastAsia="Yu Gothic UI Light" w:hAnsi="Yu Gothic UI Light"/>
        </w:rPr>
        <w:t>Use the following chart to determine if you qualify:</w:t>
      </w:r>
    </w:p>
    <w:tbl>
      <w:tblPr>
        <w:tblW w:w="5280" w:type="dxa"/>
        <w:tblInd w:w="2" w:type="dxa"/>
        <w:tblLook w:val="04A0" w:firstRow="1" w:lastRow="0" w:firstColumn="1" w:lastColumn="0" w:noHBand="0" w:noVBand="1"/>
      </w:tblPr>
      <w:tblGrid>
        <w:gridCol w:w="2760"/>
        <w:gridCol w:w="1240"/>
        <w:gridCol w:w="1280"/>
      </w:tblGrid>
      <w:tr w:rsidR="00C64FB5" w:rsidRPr="00D27FAA" w14:paraId="77CF9432" w14:textId="77777777" w:rsidTr="00C64FB5">
        <w:trPr>
          <w:trHeight w:val="31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40FFFF" w14:textId="77777777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Gross Receipts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A99FEB" w14:textId="77777777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Form 199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68E2BE" w14:textId="77777777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Form 199N</w:t>
            </w:r>
          </w:p>
        </w:tc>
      </w:tr>
      <w:tr w:rsidR="00C64FB5" w:rsidRPr="00D27FAA" w14:paraId="2DBC109C" w14:textId="77777777" w:rsidTr="00C64FB5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5480F" w14:textId="77777777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Normally &lt;= $50,000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A5811" w14:textId="77777777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5E51" w14:textId="77777777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Yes</w:t>
            </w:r>
          </w:p>
        </w:tc>
      </w:tr>
      <w:tr w:rsidR="00C64FB5" w:rsidRPr="00D27FAA" w14:paraId="212BFA56" w14:textId="77777777" w:rsidTr="00C64FB5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5F994" w14:textId="0C97243D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 xml:space="preserve"> &gt; $50,000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4727E" w14:textId="77777777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Yes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90971" w14:textId="77777777" w:rsidR="00C64FB5" w:rsidRPr="00D27FAA" w:rsidRDefault="00C64FB5" w:rsidP="00C64FB5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No</w:t>
            </w:r>
          </w:p>
        </w:tc>
      </w:tr>
    </w:tbl>
    <w:p w14:paraId="2F2FF3DA" w14:textId="77777777" w:rsidR="00D27FAA" w:rsidRDefault="004133AB" w:rsidP="00C64FB5">
      <w:pPr>
        <w:rPr>
          <w:rFonts w:ascii="Yu Gothic UI Light" w:eastAsia="Yu Gothic UI Light" w:hAnsi="Yu Gothic UI Light"/>
        </w:rPr>
      </w:pPr>
      <w:r w:rsidRPr="00D27FAA">
        <w:rPr>
          <w:rFonts w:ascii="Yu Gothic UI Light" w:eastAsia="Yu Gothic UI Light" w:hAnsi="Yu Gothic UI Light"/>
        </w:rPr>
        <w:t xml:space="preserve"> </w:t>
      </w:r>
    </w:p>
    <w:p w14:paraId="1FB5BB33" w14:textId="4F5FF467" w:rsidR="00C64FB5" w:rsidRPr="00D27FAA" w:rsidRDefault="00C64FB5" w:rsidP="00C64FB5">
      <w:pPr>
        <w:rPr>
          <w:rFonts w:ascii="Yu Gothic UI Light" w:eastAsia="Yu Gothic UI Light" w:hAnsi="Yu Gothic UI Light"/>
        </w:rPr>
      </w:pPr>
      <w:r w:rsidRPr="00D27FAA">
        <w:rPr>
          <w:rFonts w:ascii="Yu Gothic UI Light" w:eastAsia="Yu Gothic UI Light" w:hAnsi="Yu Gothic UI Light"/>
        </w:rPr>
        <w:t xml:space="preserve">Gross receipts are the total amounts the organization received from all sources during the year, without subtracting any costs or expenses.  </w:t>
      </w:r>
      <w:r w:rsidR="006616AE" w:rsidRPr="00D27FAA">
        <w:rPr>
          <w:rFonts w:ascii="Yu Gothic UI Light" w:eastAsia="Yu Gothic UI Light" w:hAnsi="Yu Gothic UI Light"/>
        </w:rPr>
        <w:t>The chart below will help you determine if gross receipts are normally $50,000 or less: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2420"/>
        <w:gridCol w:w="1660"/>
        <w:gridCol w:w="1660"/>
        <w:gridCol w:w="1660"/>
      </w:tblGrid>
      <w:tr w:rsidR="006616AE" w:rsidRPr="00D27FAA" w14:paraId="3535101C" w14:textId="77777777" w:rsidTr="006616A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117A" w14:textId="77777777" w:rsidR="006616AE" w:rsidRPr="00D27FAA" w:rsidRDefault="006616AE" w:rsidP="006616AE">
            <w:pPr>
              <w:spacing w:after="0" w:line="240" w:lineRule="auto"/>
              <w:rPr>
                <w:rFonts w:ascii="Yu Gothic UI Light" w:eastAsia="Yu Gothic UI Light" w:hAnsi="Yu Gothic UI Light" w:cs="Times New Roman"/>
              </w:rPr>
            </w:pPr>
          </w:p>
        </w:tc>
        <w:tc>
          <w:tcPr>
            <w:tcW w:w="4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5F438D4" w14:textId="77777777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Number of Years in Existence</w:t>
            </w:r>
          </w:p>
        </w:tc>
      </w:tr>
      <w:tr w:rsidR="006616AE" w:rsidRPr="00D27FAA" w14:paraId="30A882E0" w14:textId="77777777" w:rsidTr="006616AE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CCBA" w14:textId="77777777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935CB25" w14:textId="77777777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Up to 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FBF2088" w14:textId="77777777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1-3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624FF64B" w14:textId="77777777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3 or more</w:t>
            </w:r>
          </w:p>
        </w:tc>
      </w:tr>
      <w:tr w:rsidR="006616AE" w:rsidRPr="00D27FAA" w14:paraId="53C09928" w14:textId="77777777" w:rsidTr="006616AE">
        <w:trPr>
          <w:trHeight w:val="6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6DE" w14:textId="77777777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Average Gross Receipts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507" w14:textId="77777777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$75k or less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A57" w14:textId="77777777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$60k or less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28B8E" w14:textId="1EC073D1" w:rsidR="006616AE" w:rsidRPr="00D27FAA" w:rsidRDefault="006616AE" w:rsidP="006616AE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D27FAA">
              <w:rPr>
                <w:rFonts w:ascii="Yu Gothic UI Light" w:eastAsia="Yu Gothic UI Light" w:hAnsi="Yu Gothic UI Light" w:cs="Calibri"/>
                <w:color w:val="000000"/>
              </w:rPr>
              <w:t>$50k or less for last 3 years</w:t>
            </w:r>
          </w:p>
        </w:tc>
      </w:tr>
    </w:tbl>
    <w:p w14:paraId="393EAC89" w14:textId="73EF8FD1" w:rsidR="006616AE" w:rsidRPr="00D27FAA" w:rsidRDefault="006616AE" w:rsidP="006616AE">
      <w:pPr>
        <w:rPr>
          <w:rFonts w:ascii="Yu Gothic UI Light" w:eastAsia="Yu Gothic UI Light" w:hAnsi="Yu Gothic UI Light"/>
        </w:rPr>
      </w:pPr>
    </w:p>
    <w:p w14:paraId="6A930427" w14:textId="77777777" w:rsidR="00D14FA6" w:rsidRPr="00D27FAA" w:rsidRDefault="00D14FA6" w:rsidP="006616AE">
      <w:pPr>
        <w:rPr>
          <w:rFonts w:ascii="Yu Gothic UI Light" w:eastAsia="Yu Gothic UI Light" w:hAnsi="Yu Gothic UI Light"/>
        </w:rPr>
      </w:pPr>
      <w:r w:rsidRPr="00D27FAA">
        <w:rPr>
          <w:rFonts w:ascii="Yu Gothic UI Light" w:eastAsia="Yu Gothic UI Light" w:hAnsi="Yu Gothic UI Light"/>
        </w:rPr>
        <w:t>Larger organizations must file the more complex Form 199.  These clubs may want to consult a tax professional.</w:t>
      </w:r>
    </w:p>
    <w:p w14:paraId="486D4B7F" w14:textId="2D7CA4FE" w:rsidR="006616AE" w:rsidRDefault="006616AE" w:rsidP="006616AE">
      <w:pPr>
        <w:rPr>
          <w:rFonts w:ascii="Yu Gothic UI Light" w:eastAsia="Yu Gothic UI Light" w:hAnsi="Yu Gothic UI Light"/>
        </w:rPr>
      </w:pPr>
      <w:r w:rsidRPr="00D27FAA">
        <w:rPr>
          <w:rFonts w:ascii="Yu Gothic UI Light" w:eastAsia="Yu Gothic UI Light" w:hAnsi="Yu Gothic UI Light"/>
        </w:rPr>
        <w:t>File the Form 199 or 199N by the 15</w:t>
      </w:r>
      <w:r w:rsidRPr="00D27FAA">
        <w:rPr>
          <w:rFonts w:ascii="Yu Gothic UI Light" w:eastAsia="Yu Gothic UI Light" w:hAnsi="Yu Gothic UI Light"/>
          <w:vertAlign w:val="superscript"/>
        </w:rPr>
        <w:t>th</w:t>
      </w:r>
      <w:r w:rsidRPr="00D27FAA">
        <w:rPr>
          <w:rFonts w:ascii="Yu Gothic UI Light" w:eastAsia="Yu Gothic UI Light" w:hAnsi="Yu Gothic UI Light"/>
        </w:rPr>
        <w:t xml:space="preserve"> day of the 5</w:t>
      </w:r>
      <w:r w:rsidRPr="00D27FAA">
        <w:rPr>
          <w:rFonts w:ascii="Yu Gothic UI Light" w:eastAsia="Yu Gothic UI Light" w:hAnsi="Yu Gothic UI Light"/>
          <w:vertAlign w:val="superscript"/>
        </w:rPr>
        <w:t>th</w:t>
      </w:r>
      <w:r w:rsidRPr="00D27FAA">
        <w:rPr>
          <w:rFonts w:ascii="Yu Gothic UI Light" w:eastAsia="Yu Gothic UI Light" w:hAnsi="Yu Gothic UI Light"/>
        </w:rPr>
        <w:t xml:space="preserve"> month after the accounting period ends (May </w:t>
      </w:r>
      <w:r w:rsidR="00DD08B7" w:rsidRPr="00D27FAA">
        <w:rPr>
          <w:rFonts w:ascii="Yu Gothic UI Light" w:eastAsia="Yu Gothic UI Light" w:hAnsi="Yu Gothic UI Light"/>
        </w:rPr>
        <w:t>15</w:t>
      </w:r>
      <w:r w:rsidRPr="00D27FAA">
        <w:rPr>
          <w:rFonts w:ascii="Yu Gothic UI Light" w:eastAsia="Yu Gothic UI Light" w:hAnsi="Yu Gothic UI Light"/>
          <w:vertAlign w:val="superscript"/>
        </w:rPr>
        <w:t>th</w:t>
      </w:r>
      <w:r w:rsidRPr="00D27FAA">
        <w:rPr>
          <w:rFonts w:ascii="Yu Gothic UI Light" w:eastAsia="Yu Gothic UI Light" w:hAnsi="Yu Gothic UI Light"/>
        </w:rPr>
        <w:t xml:space="preserve"> for calendar year end, Nov 15</w:t>
      </w:r>
      <w:r w:rsidRPr="00D27FAA">
        <w:rPr>
          <w:rFonts w:ascii="Yu Gothic UI Light" w:eastAsia="Yu Gothic UI Light" w:hAnsi="Yu Gothic UI Light"/>
          <w:vertAlign w:val="superscript"/>
        </w:rPr>
        <w:t>th</w:t>
      </w:r>
      <w:r w:rsidRPr="00D27FAA">
        <w:rPr>
          <w:rFonts w:ascii="Yu Gothic UI Light" w:eastAsia="Yu Gothic UI Light" w:hAnsi="Yu Gothic UI Light"/>
        </w:rPr>
        <w:t xml:space="preserve"> for June 30</w:t>
      </w:r>
      <w:r w:rsidRPr="00D27FAA">
        <w:rPr>
          <w:rFonts w:ascii="Yu Gothic UI Light" w:eastAsia="Yu Gothic UI Light" w:hAnsi="Yu Gothic UI Light"/>
          <w:vertAlign w:val="superscript"/>
        </w:rPr>
        <w:t>th</w:t>
      </w:r>
      <w:r w:rsidRPr="00D27FAA">
        <w:rPr>
          <w:rFonts w:ascii="Yu Gothic UI Light" w:eastAsia="Yu Gothic UI Light" w:hAnsi="Yu Gothic UI Light"/>
        </w:rPr>
        <w:t xml:space="preserve"> end).  If </w:t>
      </w:r>
      <w:r w:rsidR="00D14FA6" w:rsidRPr="00D27FAA">
        <w:rPr>
          <w:rFonts w:ascii="Yu Gothic UI Light" w:eastAsia="Yu Gothic UI Light" w:hAnsi="Yu Gothic UI Light"/>
        </w:rPr>
        <w:t xml:space="preserve">the </w:t>
      </w:r>
      <w:r w:rsidRPr="00D27FAA">
        <w:rPr>
          <w:rFonts w:ascii="Yu Gothic UI Light" w:eastAsia="Yu Gothic UI Light" w:hAnsi="Yu Gothic UI Light"/>
        </w:rPr>
        <w:t>organization is in good standing with the FTB, a six</w:t>
      </w:r>
      <w:r w:rsidR="00D14FA6" w:rsidRPr="00D27FAA">
        <w:rPr>
          <w:rFonts w:ascii="Yu Gothic UI Light" w:eastAsia="Yu Gothic UI Light" w:hAnsi="Yu Gothic UI Light"/>
        </w:rPr>
        <w:t>-</w:t>
      </w:r>
      <w:r w:rsidRPr="00D27FAA">
        <w:rPr>
          <w:rFonts w:ascii="Yu Gothic UI Light" w:eastAsia="Yu Gothic UI Light" w:hAnsi="Yu Gothic UI Light"/>
        </w:rPr>
        <w:t xml:space="preserve">month extension is automatically granted.  </w:t>
      </w:r>
    </w:p>
    <w:p w14:paraId="36B0498B" w14:textId="6356983F" w:rsidR="00AB62AC" w:rsidRPr="00D27FAA" w:rsidRDefault="00632A2E" w:rsidP="0029331C">
      <w:pPr>
        <w:jc w:val="center"/>
        <w:rPr>
          <w:rFonts w:ascii="Yu Gothic UI Light" w:eastAsia="Yu Gothic UI Light" w:hAnsi="Yu Gothic UI Light"/>
        </w:rPr>
      </w:pPr>
      <w:r>
        <w:rPr>
          <w:noProof/>
        </w:rPr>
        <w:lastRenderedPageBreak/>
        <w:drawing>
          <wp:inline distT="0" distB="0" distL="0" distR="0" wp14:anchorId="5344A8A2" wp14:editId="7A853DB6">
            <wp:extent cx="5457825" cy="3639716"/>
            <wp:effectExtent l="0" t="0" r="0" b="0"/>
            <wp:docPr id="491585587" name="Picture 1" descr="A picture containing text, office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85587" name="Picture 1" descr="A picture containing text, office suppl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45" cy="36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0323" w14:textId="77777777" w:rsidR="00BA6775" w:rsidRPr="00F962B4" w:rsidRDefault="00BA6775" w:rsidP="00BA6775">
      <w:pPr>
        <w:jc w:val="center"/>
        <w:rPr>
          <w:rFonts w:ascii="Yu Gothic UI Light" w:eastAsia="Yu Gothic UI Light" w:hAnsi="Yu Gothic UI Light"/>
          <w:b/>
          <w:bCs/>
          <w:kern w:val="2"/>
          <w:sz w:val="28"/>
          <w:szCs w:val="28"/>
          <w14:ligatures w14:val="standardContextual"/>
        </w:rPr>
      </w:pPr>
      <w:r w:rsidRPr="00F962B4">
        <w:rPr>
          <w:rFonts w:ascii="Yu Gothic UI Light" w:eastAsia="Yu Gothic UI Light" w:hAnsi="Yu Gothic UI Light"/>
          <w:b/>
          <w:bCs/>
          <w:kern w:val="2"/>
          <w:sz w:val="28"/>
          <w:szCs w:val="28"/>
          <w14:ligatures w14:val="standardContextual"/>
        </w:rPr>
        <w:t>Important Takeaways</w:t>
      </w:r>
    </w:p>
    <w:p w14:paraId="03993B3F" w14:textId="3C0C0EC1" w:rsidR="00BA6775" w:rsidRPr="00F962B4" w:rsidRDefault="00BA6775" w:rsidP="00BA6775">
      <w:pPr>
        <w:numPr>
          <w:ilvl w:val="0"/>
          <w:numId w:val="1"/>
        </w:numPr>
        <w:contextualSpacing/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</w:pPr>
      <w:r w:rsidRPr="00F962B4"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  <w:t xml:space="preserve">Don’t drop the ball when applying for tax-exempt status. California law requires its own exemption </w:t>
      </w:r>
      <w:proofErr w:type="gramStart"/>
      <w:r w:rsidRPr="00F962B4"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  <w:t>request</w:t>
      </w:r>
      <w:proofErr w:type="gramEnd"/>
    </w:p>
    <w:p w14:paraId="114F6109" w14:textId="75ABA8FD" w:rsidR="00BA6775" w:rsidRPr="00F962B4" w:rsidRDefault="00BA6775" w:rsidP="00BA6775">
      <w:pPr>
        <w:numPr>
          <w:ilvl w:val="0"/>
          <w:numId w:val="1"/>
        </w:numPr>
        <w:contextualSpacing/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</w:pPr>
      <w:r w:rsidRPr="00F962B4"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  <w:t xml:space="preserve">Just like the IRS, California requires an annual tax </w:t>
      </w:r>
      <w:proofErr w:type="gramStart"/>
      <w:r w:rsidRPr="00F962B4"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  <w:t>filing</w:t>
      </w:r>
      <w:proofErr w:type="gramEnd"/>
    </w:p>
    <w:p w14:paraId="74058393" w14:textId="40CF32CC" w:rsidR="00D14FA6" w:rsidRPr="00F962B4" w:rsidRDefault="00D14FA6" w:rsidP="006616AE">
      <w:pPr>
        <w:rPr>
          <w:rFonts w:ascii="Yu Gothic UI Light" w:eastAsia="Yu Gothic UI Light" w:hAnsi="Yu Gothic UI Light"/>
          <w:sz w:val="28"/>
          <w:szCs w:val="28"/>
        </w:rPr>
      </w:pPr>
    </w:p>
    <w:sectPr w:rsidR="00D14FA6" w:rsidRPr="00F96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351E8"/>
    <w:multiLevelType w:val="hybridMultilevel"/>
    <w:tmpl w:val="ED4E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27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AB"/>
    <w:rsid w:val="0029331C"/>
    <w:rsid w:val="004133AB"/>
    <w:rsid w:val="00473A12"/>
    <w:rsid w:val="0052322B"/>
    <w:rsid w:val="005467C2"/>
    <w:rsid w:val="00565352"/>
    <w:rsid w:val="00632A2E"/>
    <w:rsid w:val="006616AE"/>
    <w:rsid w:val="007D3DDE"/>
    <w:rsid w:val="008F31DD"/>
    <w:rsid w:val="00954D59"/>
    <w:rsid w:val="00AA1B77"/>
    <w:rsid w:val="00AB62AC"/>
    <w:rsid w:val="00B349A6"/>
    <w:rsid w:val="00B94325"/>
    <w:rsid w:val="00BA6775"/>
    <w:rsid w:val="00C64FB5"/>
    <w:rsid w:val="00D14FA6"/>
    <w:rsid w:val="00D27FAA"/>
    <w:rsid w:val="00D7046A"/>
    <w:rsid w:val="00DD08B7"/>
    <w:rsid w:val="00E566DE"/>
    <w:rsid w:val="00F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2FBE"/>
  <w15:chartTrackingRefBased/>
  <w15:docId w15:val="{E713B010-D044-46FD-A3F9-D3621F2B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shaila chamberlain</dc:creator>
  <cp:keywords/>
  <dc:description/>
  <cp:lastModifiedBy>Claire Blanchet</cp:lastModifiedBy>
  <cp:revision>15</cp:revision>
  <dcterms:created xsi:type="dcterms:W3CDTF">2023-05-19T03:55:00Z</dcterms:created>
  <dcterms:modified xsi:type="dcterms:W3CDTF">2023-06-05T03:14:00Z</dcterms:modified>
</cp:coreProperties>
</file>