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144D" w14:textId="22B069D7" w:rsidR="00BD5AC9" w:rsidRPr="00D80D07" w:rsidRDefault="002474FE">
      <w:pPr>
        <w:rPr>
          <w:rFonts w:ascii="Yu Gothic UI Light" w:eastAsia="Yu Gothic UI Light" w:hAnsi="Yu Gothic UI Light"/>
          <w:b/>
          <w:bCs/>
          <w:sz w:val="28"/>
          <w:szCs w:val="28"/>
        </w:rPr>
      </w:pPr>
      <w:r w:rsidRPr="00D80D07">
        <w:rPr>
          <w:rFonts w:ascii="Yu Gothic UI Light" w:eastAsia="Yu Gothic UI Light" w:hAnsi="Yu Gothic UI Light"/>
          <w:b/>
          <w:bCs/>
          <w:sz w:val="28"/>
          <w:szCs w:val="28"/>
        </w:rPr>
        <w:t>California Secretary of State</w:t>
      </w:r>
    </w:p>
    <w:p w14:paraId="79E69A8F" w14:textId="2A93116E" w:rsidR="002474FE" w:rsidRPr="00D80D07" w:rsidRDefault="002474FE">
      <w:pPr>
        <w:rPr>
          <w:rFonts w:ascii="Yu Gothic UI Light" w:eastAsia="Yu Gothic UI Light" w:hAnsi="Yu Gothic UI Light"/>
        </w:rPr>
      </w:pPr>
      <w:r w:rsidRPr="00D80D07">
        <w:rPr>
          <w:rFonts w:ascii="Yu Gothic UI Light" w:eastAsia="Yu Gothic UI Light" w:hAnsi="Yu Gothic UI Light"/>
        </w:rPr>
        <w:t xml:space="preserve">Many booster clubs and parent organizations operate as corporations.  </w:t>
      </w:r>
      <w:r w:rsidR="006A030B" w:rsidRPr="00D80D07">
        <w:rPr>
          <w:rFonts w:ascii="Yu Gothic UI Light" w:eastAsia="Yu Gothic UI Light" w:hAnsi="Yu Gothic UI Light"/>
        </w:rPr>
        <w:t xml:space="preserve">Incorporation is a smart way for boosters to limit the liability of its officers, but in exchange for that status, there are more laws and forms applicable.  One of those is the Statement of Information. </w:t>
      </w:r>
      <w:r w:rsidRPr="00D80D07">
        <w:rPr>
          <w:rFonts w:ascii="Yu Gothic UI Light" w:eastAsia="Yu Gothic UI Light" w:hAnsi="Yu Gothic UI Light"/>
        </w:rPr>
        <w:t>Nonprofit corporations within the state of California must file a Statement of Information (For</w:t>
      </w:r>
      <w:r w:rsidR="00FB2785" w:rsidRPr="00D80D07">
        <w:rPr>
          <w:rFonts w:ascii="Yu Gothic UI Light" w:eastAsia="Yu Gothic UI Light" w:hAnsi="Yu Gothic UI Light"/>
        </w:rPr>
        <w:t>m</w:t>
      </w:r>
      <w:r w:rsidRPr="00D80D07">
        <w:rPr>
          <w:rFonts w:ascii="Yu Gothic UI Light" w:eastAsia="Yu Gothic UI Light" w:hAnsi="Yu Gothic UI Light"/>
        </w:rPr>
        <w:t xml:space="preserve"> SI-100) within 90 days of incorporation and every two years thereafter.  </w:t>
      </w:r>
      <w:r w:rsidR="006A030B" w:rsidRPr="00D80D07">
        <w:rPr>
          <w:rFonts w:ascii="Yu Gothic UI Light" w:eastAsia="Yu Gothic UI Light" w:hAnsi="Yu Gothic UI Light"/>
        </w:rPr>
        <w:t>Organizations that incorporated in even years must file a statement every year that ends in an even number and organizations that incorporated in odd years must file a statement every year that ends in an odd number.</w:t>
      </w:r>
    </w:p>
    <w:p w14:paraId="40CB3BC9" w14:textId="50705BEC" w:rsidR="006A030B" w:rsidRPr="00D80D07" w:rsidRDefault="006A030B">
      <w:pPr>
        <w:rPr>
          <w:rFonts w:ascii="Yu Gothic UI Light" w:eastAsia="Yu Gothic UI Light" w:hAnsi="Yu Gothic UI Light"/>
        </w:rPr>
      </w:pPr>
      <w:r w:rsidRPr="00D80D07">
        <w:rPr>
          <w:rFonts w:ascii="Yu Gothic UI Light" w:eastAsia="Yu Gothic UI Light" w:hAnsi="Yu Gothic UI Light"/>
        </w:rPr>
        <w:t xml:space="preserve">Form SI-100 can be filed online at </w:t>
      </w:r>
      <w:hyperlink r:id="rId5" w:history="1">
        <w:r w:rsidR="00FB2785" w:rsidRPr="00D80D07">
          <w:rPr>
            <w:rStyle w:val="Hyperlink"/>
            <w:rFonts w:ascii="Yu Gothic UI Light" w:eastAsia="Yu Gothic UI Light" w:hAnsi="Yu Gothic UI Light"/>
          </w:rPr>
          <w:t>https://www.sos.ca.gov/business-programs/bizfile/</w:t>
        </w:r>
      </w:hyperlink>
      <w:r w:rsidRPr="00D80D07">
        <w:rPr>
          <w:rFonts w:ascii="Yu Gothic UI Light" w:eastAsia="Yu Gothic UI Light" w:hAnsi="Yu Gothic UI Light"/>
        </w:rPr>
        <w:t>.  There is a $20 filing fee for nonprofit corporations.</w:t>
      </w:r>
    </w:p>
    <w:p w14:paraId="30972532" w14:textId="6710856C" w:rsidR="006A030B" w:rsidRPr="00D80D07" w:rsidRDefault="001171D8">
      <w:pPr>
        <w:rPr>
          <w:rFonts w:ascii="Yu Gothic UI Light" w:eastAsia="Yu Gothic UI Light" w:hAnsi="Yu Gothic UI Light"/>
        </w:rPr>
      </w:pPr>
      <w:r>
        <w:rPr>
          <w:rFonts w:ascii="Yu Gothic UI Light" w:eastAsia="Yu Gothic UI Light" w:hAnsi="Yu Gothic UI Light"/>
          <w:noProof/>
        </w:rPr>
        <w:drawing>
          <wp:anchor distT="0" distB="0" distL="114300" distR="114300" simplePos="0" relativeHeight="251658240" behindDoc="0" locked="0" layoutInCell="1" allowOverlap="1" wp14:anchorId="77F9034E" wp14:editId="6B7FE4D7">
            <wp:simplePos x="0" y="0"/>
            <wp:positionH relativeFrom="margin">
              <wp:posOffset>3313430</wp:posOffset>
            </wp:positionH>
            <wp:positionV relativeFrom="margin">
              <wp:posOffset>3313430</wp:posOffset>
            </wp:positionV>
            <wp:extent cx="2618105" cy="1744980"/>
            <wp:effectExtent l="0" t="0" r="0" b="7620"/>
            <wp:wrapSquare wrapText="bothSides"/>
            <wp:docPr id="1568364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8105" cy="1744980"/>
                    </a:xfrm>
                    <a:prstGeom prst="rect">
                      <a:avLst/>
                    </a:prstGeom>
                    <a:noFill/>
                  </pic:spPr>
                </pic:pic>
              </a:graphicData>
            </a:graphic>
            <wp14:sizeRelH relativeFrom="margin">
              <wp14:pctWidth>0</wp14:pctWidth>
            </wp14:sizeRelH>
            <wp14:sizeRelV relativeFrom="margin">
              <wp14:pctHeight>0</wp14:pctHeight>
            </wp14:sizeRelV>
          </wp:anchor>
        </w:drawing>
      </w:r>
      <w:r w:rsidR="00924852" w:rsidRPr="00D80D07">
        <w:rPr>
          <w:rFonts w:ascii="Yu Gothic UI Light" w:eastAsia="Yu Gothic UI Light" w:hAnsi="Yu Gothic UI Light"/>
        </w:rPr>
        <w:t>Filing the form is very simple.  You will need the legal name of the organization, its seven</w:t>
      </w:r>
      <w:r w:rsidR="00FB2785" w:rsidRPr="00D80D07">
        <w:rPr>
          <w:rFonts w:ascii="Yu Gothic UI Light" w:eastAsia="Yu Gothic UI Light" w:hAnsi="Yu Gothic UI Light"/>
        </w:rPr>
        <w:t>-</w:t>
      </w:r>
      <w:r w:rsidR="00924852" w:rsidRPr="00D80D07">
        <w:rPr>
          <w:rFonts w:ascii="Yu Gothic UI Light" w:eastAsia="Yu Gothic UI Light" w:hAnsi="Yu Gothic UI Light"/>
        </w:rPr>
        <w:t>digit corporate identification number and permanent address</w:t>
      </w:r>
      <w:r w:rsidR="00BB4C70" w:rsidRPr="00D80D07">
        <w:rPr>
          <w:rFonts w:ascii="Yu Gothic UI Light" w:eastAsia="Yu Gothic UI Light" w:hAnsi="Yu Gothic UI Light"/>
        </w:rPr>
        <w:t>,</w:t>
      </w:r>
      <w:r w:rsidR="00924852" w:rsidRPr="00D80D07">
        <w:rPr>
          <w:rFonts w:ascii="Yu Gothic UI Light" w:eastAsia="Yu Gothic UI Light" w:hAnsi="Yu Gothic UI Light"/>
        </w:rPr>
        <w:t xml:space="preserve"> and the names, </w:t>
      </w:r>
      <w:r w:rsidR="00BD29EA" w:rsidRPr="00D80D07">
        <w:rPr>
          <w:rFonts w:ascii="Yu Gothic UI Light" w:eastAsia="Yu Gothic UI Light" w:hAnsi="Yu Gothic UI Light"/>
        </w:rPr>
        <w:t>titles,</w:t>
      </w:r>
      <w:r w:rsidR="00924852" w:rsidRPr="00D80D07">
        <w:rPr>
          <w:rFonts w:ascii="Yu Gothic UI Light" w:eastAsia="Yu Gothic UI Light" w:hAnsi="Yu Gothic UI Light"/>
        </w:rPr>
        <w:t xml:space="preserve"> and addresses of the corporation’s chief executive officer (president), secretary</w:t>
      </w:r>
      <w:r w:rsidR="00BB4C70" w:rsidRPr="00D80D07">
        <w:rPr>
          <w:rFonts w:ascii="Yu Gothic UI Light" w:eastAsia="Yu Gothic UI Light" w:hAnsi="Yu Gothic UI Light"/>
        </w:rPr>
        <w:t>,</w:t>
      </w:r>
      <w:r w:rsidR="00924852" w:rsidRPr="00D80D07">
        <w:rPr>
          <w:rFonts w:ascii="Yu Gothic UI Light" w:eastAsia="Yu Gothic UI Light" w:hAnsi="Yu Gothic UI Light"/>
        </w:rPr>
        <w:t xml:space="preserve"> and chief financial officer (treasurer).  Every corporation is required to have at least these three officers.  Any number of offices may be held by the same person unless the articles of incorporation or bylaws provide otherwise, </w:t>
      </w:r>
      <w:r w:rsidR="00924852" w:rsidRPr="00D80D07">
        <w:rPr>
          <w:rFonts w:ascii="Yu Gothic UI Light" w:eastAsia="Yu Gothic UI Light" w:hAnsi="Yu Gothic UI Light"/>
          <w:b/>
          <w:bCs/>
        </w:rPr>
        <w:t>except</w:t>
      </w:r>
      <w:r w:rsidR="00924852" w:rsidRPr="00D80D07">
        <w:rPr>
          <w:rFonts w:ascii="Yu Gothic UI Light" w:eastAsia="Yu Gothic UI Light" w:hAnsi="Yu Gothic UI Light"/>
        </w:rPr>
        <w:t xml:space="preserve"> neither the secretary nor the chief financial officer or treasurer may serve concurrently as the president or chairperson of the board.</w:t>
      </w:r>
    </w:p>
    <w:p w14:paraId="6F1979BF" w14:textId="56DDC384" w:rsidR="00924852" w:rsidRPr="00D80D07" w:rsidRDefault="00924852">
      <w:pPr>
        <w:rPr>
          <w:rFonts w:ascii="Yu Gothic UI Light" w:eastAsia="Yu Gothic UI Light" w:hAnsi="Yu Gothic UI Light"/>
        </w:rPr>
      </w:pPr>
      <w:r w:rsidRPr="00D80D07">
        <w:rPr>
          <w:rFonts w:ascii="Yu Gothic UI Light" w:eastAsia="Yu Gothic UI Light" w:hAnsi="Yu Gothic UI Light"/>
        </w:rPr>
        <w:t xml:space="preserve">The corporation must </w:t>
      </w:r>
      <w:r w:rsidR="00FB2785" w:rsidRPr="00D80D07">
        <w:rPr>
          <w:rFonts w:ascii="Yu Gothic UI Light" w:eastAsia="Yu Gothic UI Light" w:hAnsi="Yu Gothic UI Light"/>
        </w:rPr>
        <w:t xml:space="preserve">also list an agent for service of process.  This is the person (or corporation) responsible for accepting legal documents, such as subpoenas or service of lawsuits.  Booster and parent organizations generally designate one of the officers for this role.  </w:t>
      </w:r>
    </w:p>
    <w:p w14:paraId="22D26E80" w14:textId="0ADD26AB" w:rsidR="00FB2785" w:rsidRPr="00D80D07" w:rsidRDefault="00FB2785">
      <w:pPr>
        <w:rPr>
          <w:rFonts w:ascii="Yu Gothic UI Light" w:eastAsia="Yu Gothic UI Light" w:hAnsi="Yu Gothic UI Light"/>
        </w:rPr>
      </w:pPr>
      <w:r w:rsidRPr="00D80D07">
        <w:rPr>
          <w:rFonts w:ascii="Yu Gothic UI Light" w:eastAsia="Yu Gothic UI Light" w:hAnsi="Yu Gothic UI Light"/>
        </w:rPr>
        <w:t>The SI-100 is a public document.  This means that the officers’, as well as the agent for service of process’ names and addresses will be open to all.</w:t>
      </w:r>
    </w:p>
    <w:p w14:paraId="3806202C" w14:textId="6D5CEAC8" w:rsidR="002542C7" w:rsidRPr="00D80D07" w:rsidRDefault="00FB2785" w:rsidP="002542C7">
      <w:pPr>
        <w:jc w:val="center"/>
        <w:rPr>
          <w:rFonts w:ascii="Yu Gothic UI Light" w:eastAsia="Yu Gothic UI Light" w:hAnsi="Yu Gothic UI Light"/>
          <w:b/>
          <w:bCs/>
          <w:kern w:val="2"/>
          <w14:ligatures w14:val="standardContextual"/>
        </w:rPr>
      </w:pPr>
      <w:r w:rsidRPr="00D80D07">
        <w:rPr>
          <w:rFonts w:ascii="Yu Gothic UI Light" w:eastAsia="Yu Gothic UI Light" w:hAnsi="Yu Gothic UI Light"/>
        </w:rPr>
        <w:t xml:space="preserve">For more information, please visit the Secretary of State website at </w:t>
      </w:r>
      <w:hyperlink r:id="rId7" w:history="1">
        <w:r w:rsidR="002542C7" w:rsidRPr="00D80D07">
          <w:rPr>
            <w:rStyle w:val="Hyperlink"/>
            <w:rFonts w:ascii="Yu Gothic UI Light" w:eastAsia="Yu Gothic UI Light" w:hAnsi="Yu Gothic UI Light"/>
          </w:rPr>
          <w:t>https://www.sos.ca.gov/businessprograms/business-entities/statements/</w:t>
        </w:r>
      </w:hyperlink>
      <w:r w:rsidR="002542C7" w:rsidRPr="00D80D07">
        <w:rPr>
          <w:rFonts w:ascii="Yu Gothic UI Light" w:eastAsia="Yu Gothic UI Light" w:hAnsi="Yu Gothic UI Light"/>
          <w:b/>
          <w:bCs/>
          <w:kern w:val="2"/>
          <w14:ligatures w14:val="standardContextual"/>
        </w:rPr>
        <w:t xml:space="preserve"> </w:t>
      </w:r>
    </w:p>
    <w:p w14:paraId="1DE7B7CB" w14:textId="77777777" w:rsidR="00F3108C" w:rsidRDefault="00F3108C" w:rsidP="002542C7">
      <w:pPr>
        <w:jc w:val="center"/>
        <w:rPr>
          <w:rFonts w:ascii="Yu Gothic UI Light" w:eastAsia="Yu Gothic UI Light" w:hAnsi="Yu Gothic UI Light"/>
          <w:b/>
          <w:bCs/>
          <w:kern w:val="2"/>
          <w:sz w:val="28"/>
          <w:szCs w:val="28"/>
          <w14:ligatures w14:val="standardContextual"/>
        </w:rPr>
      </w:pPr>
    </w:p>
    <w:p w14:paraId="1E04BC3D" w14:textId="247B0125" w:rsidR="002542C7" w:rsidRPr="00D80D07" w:rsidRDefault="002542C7" w:rsidP="002542C7">
      <w:pPr>
        <w:jc w:val="center"/>
        <w:rPr>
          <w:rFonts w:ascii="Yu Gothic UI Light" w:eastAsia="Yu Gothic UI Light" w:hAnsi="Yu Gothic UI Light"/>
          <w:b/>
          <w:bCs/>
          <w:kern w:val="2"/>
          <w:sz w:val="28"/>
          <w:szCs w:val="28"/>
          <w14:ligatures w14:val="standardContextual"/>
        </w:rPr>
      </w:pPr>
      <w:r w:rsidRPr="00D80D07">
        <w:rPr>
          <w:rFonts w:ascii="Yu Gothic UI Light" w:eastAsia="Yu Gothic UI Light" w:hAnsi="Yu Gothic UI Light"/>
          <w:b/>
          <w:bCs/>
          <w:kern w:val="2"/>
          <w:sz w:val="28"/>
          <w:szCs w:val="28"/>
          <w14:ligatures w14:val="standardContextual"/>
        </w:rPr>
        <w:lastRenderedPageBreak/>
        <w:t>Important Takeaways</w:t>
      </w:r>
    </w:p>
    <w:p w14:paraId="36B632B3" w14:textId="6C704EAD" w:rsidR="002542C7" w:rsidRPr="00D80D07" w:rsidRDefault="002542C7" w:rsidP="002542C7">
      <w:pPr>
        <w:numPr>
          <w:ilvl w:val="0"/>
          <w:numId w:val="1"/>
        </w:numPr>
        <w:contextualSpacing/>
        <w:rPr>
          <w:rFonts w:ascii="Yu Gothic UI Light" w:eastAsia="Yu Gothic UI Light" w:hAnsi="Yu Gothic UI Light"/>
          <w:i/>
          <w:iCs/>
          <w:kern w:val="2"/>
          <w:sz w:val="28"/>
          <w:szCs w:val="28"/>
          <w14:ligatures w14:val="standardContextual"/>
        </w:rPr>
      </w:pPr>
      <w:r w:rsidRPr="00D80D07">
        <w:rPr>
          <w:rFonts w:ascii="Yu Gothic UI Light" w:eastAsia="Yu Gothic UI Light" w:hAnsi="Yu Gothic UI Light"/>
          <w:i/>
          <w:iCs/>
          <w:kern w:val="2"/>
          <w:sz w:val="28"/>
          <w:szCs w:val="28"/>
          <w14:ligatures w14:val="standardContextual"/>
        </w:rPr>
        <w:t>Incorporation is a great way to limit liability</w:t>
      </w:r>
    </w:p>
    <w:p w14:paraId="06C3BBE5" w14:textId="660F9386" w:rsidR="002542C7" w:rsidRPr="00D80D07" w:rsidRDefault="002542C7" w:rsidP="002542C7">
      <w:pPr>
        <w:numPr>
          <w:ilvl w:val="0"/>
          <w:numId w:val="1"/>
        </w:numPr>
        <w:contextualSpacing/>
        <w:rPr>
          <w:rFonts w:ascii="Yu Gothic UI Light" w:eastAsia="Yu Gothic UI Light" w:hAnsi="Yu Gothic UI Light"/>
          <w:sz w:val="28"/>
          <w:szCs w:val="28"/>
        </w:rPr>
      </w:pPr>
      <w:r w:rsidRPr="00D80D07">
        <w:rPr>
          <w:rFonts w:ascii="Yu Gothic UI Light" w:eastAsia="Yu Gothic UI Light" w:hAnsi="Yu Gothic UI Light"/>
          <w:i/>
          <w:iCs/>
          <w:kern w:val="2"/>
          <w:sz w:val="28"/>
          <w:szCs w:val="28"/>
          <w14:ligatures w14:val="standardContextual"/>
        </w:rPr>
        <w:t xml:space="preserve">Incorporation comes with added responsibilities and legal </w:t>
      </w:r>
      <w:r w:rsidR="001061D3" w:rsidRPr="00D80D07">
        <w:rPr>
          <w:rFonts w:ascii="Yu Gothic UI Light" w:eastAsia="Yu Gothic UI Light" w:hAnsi="Yu Gothic UI Light"/>
          <w:i/>
          <w:iCs/>
          <w:kern w:val="2"/>
          <w:sz w:val="28"/>
          <w:szCs w:val="28"/>
          <w14:ligatures w14:val="standardContextual"/>
        </w:rPr>
        <w:t>requirements</w:t>
      </w:r>
    </w:p>
    <w:p w14:paraId="1E0C02E1" w14:textId="77777777" w:rsidR="002542C7" w:rsidRPr="00D80D07" w:rsidRDefault="002542C7" w:rsidP="002542C7">
      <w:pPr>
        <w:rPr>
          <w:rFonts w:ascii="Yu Gothic UI Light" w:eastAsia="Yu Gothic UI Light" w:hAnsi="Yu Gothic UI Light"/>
        </w:rPr>
      </w:pPr>
    </w:p>
    <w:p w14:paraId="6121330E" w14:textId="4DD73E8A" w:rsidR="00FB2785" w:rsidRPr="00D80D07" w:rsidRDefault="00FB2785">
      <w:pPr>
        <w:rPr>
          <w:rFonts w:ascii="Yu Gothic UI Light" w:eastAsia="Yu Gothic UI Light" w:hAnsi="Yu Gothic UI Light"/>
        </w:rPr>
      </w:pPr>
    </w:p>
    <w:sectPr w:rsidR="00FB2785" w:rsidRPr="00D80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51E8"/>
    <w:multiLevelType w:val="hybridMultilevel"/>
    <w:tmpl w:val="ED4E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88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FE"/>
    <w:rsid w:val="001061D3"/>
    <w:rsid w:val="001171D8"/>
    <w:rsid w:val="002474FE"/>
    <w:rsid w:val="002542C7"/>
    <w:rsid w:val="00285934"/>
    <w:rsid w:val="002D25B7"/>
    <w:rsid w:val="00473A12"/>
    <w:rsid w:val="004C4EC1"/>
    <w:rsid w:val="005467C2"/>
    <w:rsid w:val="00692522"/>
    <w:rsid w:val="006A030B"/>
    <w:rsid w:val="007975C3"/>
    <w:rsid w:val="00887EF2"/>
    <w:rsid w:val="00924852"/>
    <w:rsid w:val="009C3530"/>
    <w:rsid w:val="00BB4C70"/>
    <w:rsid w:val="00BD29EA"/>
    <w:rsid w:val="00D80D07"/>
    <w:rsid w:val="00F3108C"/>
    <w:rsid w:val="00FB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593"/>
  <w15:chartTrackingRefBased/>
  <w15:docId w15:val="{FCBEF1FA-BFC7-4381-ACBE-8E82297B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785"/>
    <w:rPr>
      <w:color w:val="0000FF"/>
      <w:u w:val="single"/>
    </w:rPr>
  </w:style>
  <w:style w:type="character" w:styleId="FollowedHyperlink">
    <w:name w:val="FollowedHyperlink"/>
    <w:basedOn w:val="DefaultParagraphFont"/>
    <w:uiPriority w:val="99"/>
    <w:semiHidden/>
    <w:unhideWhenUsed/>
    <w:rsid w:val="002542C7"/>
    <w:rPr>
      <w:color w:val="954F72" w:themeColor="followedHyperlink"/>
      <w:u w:val="single"/>
    </w:rPr>
  </w:style>
  <w:style w:type="character" w:styleId="UnresolvedMention">
    <w:name w:val="Unresolved Mention"/>
    <w:basedOn w:val="DefaultParagraphFont"/>
    <w:uiPriority w:val="99"/>
    <w:semiHidden/>
    <w:unhideWhenUsed/>
    <w:rsid w:val="0025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s.ca.gov/businessprograms/business-entities/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os.ca.gov/business-programs/bizfi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 chamberlain</dc:creator>
  <cp:keywords/>
  <dc:description/>
  <cp:lastModifiedBy>Claire Blanchet</cp:lastModifiedBy>
  <cp:revision>12</cp:revision>
  <dcterms:created xsi:type="dcterms:W3CDTF">2023-05-19T03:54:00Z</dcterms:created>
  <dcterms:modified xsi:type="dcterms:W3CDTF">2023-06-05T03:15:00Z</dcterms:modified>
</cp:coreProperties>
</file>