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C9F2" w14:textId="659E83BD" w:rsidR="00CF267C" w:rsidRPr="00E057D6" w:rsidRDefault="00CF267C">
      <w:pPr>
        <w:rPr>
          <w:rFonts w:ascii="Yu Gothic UI Light" w:eastAsia="Yu Gothic UI Light" w:hAnsi="Yu Gothic UI Light"/>
          <w:b/>
          <w:bCs/>
        </w:rPr>
      </w:pPr>
      <w:r w:rsidRPr="007B55D8">
        <w:rPr>
          <w:rFonts w:ascii="Yu Gothic UI Light" w:eastAsia="Yu Gothic UI Light" w:hAnsi="Yu Gothic UI Light"/>
          <w:b/>
          <w:bCs/>
          <w:sz w:val="28"/>
          <w:szCs w:val="28"/>
        </w:rPr>
        <w:t>Filing a Federal Tax Return</w:t>
      </w:r>
    </w:p>
    <w:p w14:paraId="5EB6BD42" w14:textId="491DB9D9" w:rsidR="00B57E34" w:rsidRPr="00E057D6" w:rsidRDefault="00B57E34">
      <w:pPr>
        <w:rPr>
          <w:rFonts w:ascii="Yu Gothic UI Light" w:eastAsia="Yu Gothic UI Light" w:hAnsi="Yu Gothic UI Light"/>
        </w:rPr>
      </w:pPr>
      <w:r w:rsidRPr="00E057D6">
        <w:rPr>
          <w:rFonts w:ascii="Yu Gothic UI Light" w:eastAsia="Yu Gothic UI Light" w:hAnsi="Yu Gothic UI Light"/>
        </w:rPr>
        <w:t xml:space="preserve">The Internal Revenue Service (IRS) requires almost every organization </w:t>
      </w:r>
      <w:r w:rsidR="00742E88" w:rsidRPr="00E057D6">
        <w:rPr>
          <w:rFonts w:ascii="Yu Gothic UI Light" w:eastAsia="Yu Gothic UI Light" w:hAnsi="Yu Gothic UI Light"/>
        </w:rPr>
        <w:t>to file</w:t>
      </w:r>
      <w:r w:rsidRPr="00E057D6">
        <w:rPr>
          <w:rFonts w:ascii="Yu Gothic UI Light" w:eastAsia="Yu Gothic UI Light" w:hAnsi="Yu Gothic UI Light"/>
        </w:rPr>
        <w:t xml:space="preserve"> an annual return, even nonprofit booster clubs and parent organizations.  </w:t>
      </w:r>
      <w:r w:rsidR="00BD6D81" w:rsidRPr="00E057D6">
        <w:rPr>
          <w:rFonts w:ascii="Yu Gothic UI Light" w:eastAsia="Yu Gothic UI Light" w:hAnsi="Yu Gothic UI Light"/>
        </w:rPr>
        <w:t>IRS</w:t>
      </w:r>
      <w:r w:rsidRPr="00E057D6">
        <w:rPr>
          <w:rFonts w:ascii="Yu Gothic UI Light" w:eastAsia="Yu Gothic UI Light" w:hAnsi="Yu Gothic UI Light"/>
        </w:rPr>
        <w:t xml:space="preserve"> </w:t>
      </w:r>
      <w:r w:rsidR="00BD6D81" w:rsidRPr="00E057D6">
        <w:rPr>
          <w:rFonts w:ascii="Yu Gothic UI Light" w:eastAsia="Yu Gothic UI Light" w:hAnsi="Yu Gothic UI Light"/>
        </w:rPr>
        <w:t xml:space="preserve">Form </w:t>
      </w:r>
      <w:r w:rsidRPr="00E057D6">
        <w:rPr>
          <w:rFonts w:ascii="Yu Gothic UI Light" w:eastAsia="Yu Gothic UI Light" w:hAnsi="Yu Gothic UI Light"/>
        </w:rPr>
        <w:t xml:space="preserve">990 is </w:t>
      </w:r>
      <w:r w:rsidR="00BD6D81" w:rsidRPr="00E057D6">
        <w:rPr>
          <w:rFonts w:ascii="Yu Gothic UI Light" w:eastAsia="Yu Gothic UI Light" w:hAnsi="Yu Gothic UI Light"/>
        </w:rPr>
        <w:t xml:space="preserve">an </w:t>
      </w:r>
      <w:r w:rsidRPr="00E057D6">
        <w:rPr>
          <w:rFonts w:ascii="Yu Gothic UI Light" w:eastAsia="Yu Gothic UI Light" w:hAnsi="Yu Gothic UI Light"/>
        </w:rPr>
        <w:t>informational</w:t>
      </w:r>
      <w:r w:rsidR="00BD6D81" w:rsidRPr="00E057D6">
        <w:rPr>
          <w:rFonts w:ascii="Yu Gothic UI Light" w:eastAsia="Yu Gothic UI Light" w:hAnsi="Yu Gothic UI Light"/>
        </w:rPr>
        <w:t xml:space="preserve"> return</w:t>
      </w:r>
      <w:r w:rsidRPr="00E057D6">
        <w:rPr>
          <w:rFonts w:ascii="Yu Gothic UI Light" w:eastAsia="Yu Gothic UI Light" w:hAnsi="Yu Gothic UI Light"/>
        </w:rPr>
        <w:t xml:space="preserve">: the IRS wants to know about the club’s finances, programs, fundraising </w:t>
      </w:r>
      <w:r w:rsidR="00742E88" w:rsidRPr="00E057D6">
        <w:rPr>
          <w:rFonts w:ascii="Yu Gothic UI Light" w:eastAsia="Yu Gothic UI Light" w:hAnsi="Yu Gothic UI Light"/>
        </w:rPr>
        <w:t>activities,</w:t>
      </w:r>
      <w:r w:rsidRPr="00E057D6">
        <w:rPr>
          <w:rFonts w:ascii="Yu Gothic UI Light" w:eastAsia="Yu Gothic UI Light" w:hAnsi="Yu Gothic UI Light"/>
        </w:rPr>
        <w:t xml:space="preserve"> and compensation arrangements.  </w:t>
      </w:r>
      <w:r w:rsidR="00BD6D81" w:rsidRPr="00E057D6">
        <w:rPr>
          <w:rFonts w:ascii="Yu Gothic UI Light" w:eastAsia="Yu Gothic UI Light" w:hAnsi="Yu Gothic UI Light"/>
        </w:rPr>
        <w:t xml:space="preserve">There are a few different versions of the form.  The one that applies to your club is determined by the following asset and </w:t>
      </w:r>
      <w:r w:rsidR="00CA4D68" w:rsidRPr="00E057D6">
        <w:rPr>
          <w:rFonts w:ascii="Yu Gothic UI Light" w:eastAsia="Yu Gothic UI Light" w:hAnsi="Yu Gothic UI Light"/>
        </w:rPr>
        <w:t>gross receipt</w:t>
      </w:r>
      <w:r w:rsidR="00BD6D81" w:rsidRPr="00E057D6">
        <w:rPr>
          <w:rFonts w:ascii="Yu Gothic UI Light" w:eastAsia="Yu Gothic UI Light" w:hAnsi="Yu Gothic UI Light"/>
        </w:rPr>
        <w:t xml:space="preserve"> thresholds:</w:t>
      </w:r>
    </w:p>
    <w:tbl>
      <w:tblPr>
        <w:tblpPr w:leftFromText="180" w:rightFromText="180" w:vertAnchor="page" w:horzAnchor="margin" w:tblpY="1981"/>
        <w:tblW w:w="6020" w:type="dxa"/>
        <w:tblLook w:val="04A0" w:firstRow="1" w:lastRow="0" w:firstColumn="1" w:lastColumn="0" w:noHBand="0" w:noVBand="1"/>
      </w:tblPr>
      <w:tblGrid>
        <w:gridCol w:w="2500"/>
        <w:gridCol w:w="1660"/>
        <w:gridCol w:w="1860"/>
      </w:tblGrid>
      <w:tr w:rsidR="00876FAD" w:rsidRPr="00E057D6" w14:paraId="430397AA" w14:textId="77777777" w:rsidTr="00876FAD"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572D2" w14:textId="77777777" w:rsidR="00876FAD" w:rsidRPr="00E057D6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E057D6">
              <w:rPr>
                <w:rFonts w:ascii="Yu Gothic UI Light" w:eastAsia="Yu Gothic UI Light" w:hAnsi="Yu Gothic UI Light" w:cs="Calibri"/>
                <w:color w:val="000000"/>
              </w:rPr>
              <w:t>Form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2CB56" w14:textId="77777777" w:rsidR="00876FAD" w:rsidRPr="00E057D6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E057D6">
              <w:rPr>
                <w:rFonts w:ascii="Yu Gothic UI Light" w:eastAsia="Yu Gothic UI Light" w:hAnsi="Yu Gothic UI Light" w:cs="Calibri"/>
                <w:color w:val="000000"/>
              </w:rPr>
              <w:t>Assets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AF9568" w14:textId="77777777" w:rsidR="00876FAD" w:rsidRPr="00E057D6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E057D6">
              <w:rPr>
                <w:rFonts w:ascii="Yu Gothic UI Light" w:eastAsia="Yu Gothic UI Light" w:hAnsi="Yu Gothic UI Light" w:cs="Calibri"/>
                <w:color w:val="000000"/>
              </w:rPr>
              <w:t>Gross Receipts</w:t>
            </w:r>
          </w:p>
        </w:tc>
      </w:tr>
      <w:tr w:rsidR="00876FAD" w:rsidRPr="007B55D8" w14:paraId="7FDF4E0F" w14:textId="77777777" w:rsidTr="00876FAD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946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990-N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E70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N/A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DB9D7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Normally &lt; $50K</w:t>
            </w:r>
          </w:p>
        </w:tc>
      </w:tr>
      <w:tr w:rsidR="00876FAD" w:rsidRPr="007B55D8" w14:paraId="465EEE37" w14:textId="77777777" w:rsidTr="00876FAD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74D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990-EZ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3692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&lt;$500K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5176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&lt;$200K</w:t>
            </w:r>
          </w:p>
        </w:tc>
      </w:tr>
      <w:tr w:rsidR="00876FAD" w:rsidRPr="007B55D8" w14:paraId="3B029992" w14:textId="77777777" w:rsidTr="00876FA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F5C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BEB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$500K or more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D1BDC" w14:textId="77777777" w:rsidR="00876FAD" w:rsidRPr="007B55D8" w:rsidRDefault="00876FAD" w:rsidP="00876FAD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$200K or more</w:t>
            </w:r>
          </w:p>
        </w:tc>
      </w:tr>
    </w:tbl>
    <w:p w14:paraId="71904655" w14:textId="0E68FBE8" w:rsidR="00123B5A" w:rsidRPr="007B55D8" w:rsidRDefault="00743740">
      <w:pPr>
        <w:rPr>
          <w:rFonts w:ascii="Yu Gothic UI Light" w:eastAsia="Yu Gothic UI Light" w:hAnsi="Yu Gothic UI Light"/>
        </w:rPr>
      </w:pPr>
      <w:r w:rsidRPr="007B55D8">
        <w:rPr>
          <w:rFonts w:ascii="Yu Gothic UI Light" w:eastAsia="Yu Gothic UI Light" w:hAnsi="Yu Gothic UI Light"/>
        </w:rPr>
        <w:t xml:space="preserve">Assets are property owned by the organization, such as cash, pledged donations or physical property.  </w:t>
      </w:r>
      <w:r w:rsidR="00BD6D81" w:rsidRPr="007B55D8">
        <w:rPr>
          <w:rFonts w:ascii="Yu Gothic UI Light" w:eastAsia="Yu Gothic UI Light" w:hAnsi="Yu Gothic UI Light"/>
        </w:rPr>
        <w:t xml:space="preserve">Gross </w:t>
      </w:r>
      <w:r w:rsidR="00123B5A" w:rsidRPr="007B55D8">
        <w:rPr>
          <w:rFonts w:ascii="Yu Gothic UI Light" w:eastAsia="Yu Gothic UI Light" w:hAnsi="Yu Gothic UI Light"/>
        </w:rPr>
        <w:t>receipts are the total amounts the organization received from all sources during the year, without subtracting any costs or expenses.  But what is meant by “normally” $50,000 or less?  As you know, the IRS likes to complicate things.  Here is a chart to help you decide if the club “normally” has gross receipts of $50,000 or less</w:t>
      </w:r>
      <w:r w:rsidRPr="007B55D8">
        <w:rPr>
          <w:rFonts w:ascii="Yu Gothic UI Light" w:eastAsia="Yu Gothic UI Light" w:hAnsi="Yu Gothic UI Light"/>
        </w:rPr>
        <w:t>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2420"/>
        <w:gridCol w:w="1660"/>
        <w:gridCol w:w="1660"/>
        <w:gridCol w:w="1660"/>
      </w:tblGrid>
      <w:tr w:rsidR="00EC21B9" w:rsidRPr="007B55D8" w14:paraId="38EFCFA4" w14:textId="77777777" w:rsidTr="00EC21B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57F1" w14:textId="77777777" w:rsidR="00EC21B9" w:rsidRPr="007B55D8" w:rsidRDefault="00EC21B9" w:rsidP="00EC21B9">
            <w:pPr>
              <w:spacing w:after="0" w:line="240" w:lineRule="auto"/>
              <w:rPr>
                <w:rFonts w:ascii="Yu Gothic UI Light" w:eastAsia="Yu Gothic UI Light" w:hAnsi="Yu Gothic UI Light" w:cs="Times New Roman"/>
              </w:rPr>
            </w:pPr>
          </w:p>
        </w:tc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AB47B6D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Number of Years in Existence</w:t>
            </w:r>
          </w:p>
        </w:tc>
      </w:tr>
      <w:tr w:rsidR="00EC21B9" w:rsidRPr="007B55D8" w14:paraId="7973A7CF" w14:textId="77777777" w:rsidTr="00EC21B9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567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596D8E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Up to 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2CCB1F5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1-3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41D3E7E2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3 or more</w:t>
            </w:r>
          </w:p>
        </w:tc>
      </w:tr>
      <w:tr w:rsidR="00EC21B9" w:rsidRPr="007B55D8" w14:paraId="0F241751" w14:textId="77777777" w:rsidTr="00EC21B9">
        <w:trPr>
          <w:trHeight w:val="6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0D1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Average Gross Receipts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4C10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$75k or less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EF5B" w14:textId="77777777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$60k or less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86553" w14:textId="686CEF1F" w:rsidR="00EC21B9" w:rsidRPr="007B55D8" w:rsidRDefault="00EC21B9" w:rsidP="00EC21B9">
            <w:pPr>
              <w:spacing w:after="0" w:line="240" w:lineRule="auto"/>
              <w:jc w:val="center"/>
              <w:rPr>
                <w:rFonts w:ascii="Yu Gothic UI Light" w:eastAsia="Yu Gothic UI Light" w:hAnsi="Yu Gothic UI Light" w:cs="Calibri"/>
                <w:color w:val="000000"/>
              </w:rPr>
            </w:pPr>
            <w:r w:rsidRPr="007B55D8">
              <w:rPr>
                <w:rFonts w:ascii="Yu Gothic UI Light" w:eastAsia="Yu Gothic UI Light" w:hAnsi="Yu Gothic UI Light" w:cs="Calibri"/>
                <w:color w:val="000000"/>
              </w:rPr>
              <w:t>$50k or less for last 3 years</w:t>
            </w:r>
          </w:p>
        </w:tc>
      </w:tr>
    </w:tbl>
    <w:p w14:paraId="077D8CE7" w14:textId="76933555" w:rsidR="00CA4D68" w:rsidRPr="007B55D8" w:rsidRDefault="00CA4D68">
      <w:pPr>
        <w:rPr>
          <w:rFonts w:ascii="Yu Gothic UI Light" w:eastAsia="Yu Gothic UI Light" w:hAnsi="Yu Gothic UI Light"/>
        </w:rPr>
      </w:pPr>
    </w:p>
    <w:p w14:paraId="18699A96" w14:textId="62C4D1EF" w:rsidR="00CA4D68" w:rsidRPr="007B55D8" w:rsidRDefault="00CA4D68" w:rsidP="00CA4D68">
      <w:pPr>
        <w:rPr>
          <w:rFonts w:ascii="Yu Gothic UI Light" w:eastAsia="Yu Gothic UI Light" w:hAnsi="Yu Gothic UI Light"/>
        </w:rPr>
      </w:pPr>
      <w:r w:rsidRPr="007B55D8">
        <w:rPr>
          <w:rFonts w:ascii="Yu Gothic UI Light" w:eastAsia="Yu Gothic UI Light" w:hAnsi="Yu Gothic UI Light"/>
        </w:rPr>
        <w:t>First time filers of the 990-N must complete a one-time registration at IRS.gov.  The 990-N is an electronically filed return that takes only a few minutes to file</w:t>
      </w:r>
      <w:r w:rsidR="00876FAD" w:rsidRPr="007B55D8">
        <w:rPr>
          <w:rFonts w:ascii="Yu Gothic UI Light" w:eastAsia="Yu Gothic UI Light" w:hAnsi="Yu Gothic UI Light"/>
        </w:rPr>
        <w:t>, requiring only basic information, such as the organization’s EIN, mailing address, officer information and a confirmation that annual gross receipts are normally $50,000 or less.</w:t>
      </w:r>
    </w:p>
    <w:p w14:paraId="33B6B3B0" w14:textId="2C5B402B" w:rsidR="00876FAD" w:rsidRPr="007B55D8" w:rsidRDefault="00876FAD" w:rsidP="00CA4D68">
      <w:pPr>
        <w:rPr>
          <w:rFonts w:ascii="Yu Gothic UI Light" w:eastAsia="Yu Gothic UI Light" w:hAnsi="Yu Gothic UI Light"/>
        </w:rPr>
      </w:pPr>
      <w:r w:rsidRPr="007B55D8">
        <w:rPr>
          <w:rFonts w:ascii="Yu Gothic UI Light" w:eastAsia="Yu Gothic UI Light" w:hAnsi="Yu Gothic UI Light"/>
        </w:rPr>
        <w:t>The 990-EZ and 990 are filed for larger organizations and often will require the assistance of a professional tax preparer.</w:t>
      </w:r>
    </w:p>
    <w:p w14:paraId="43B97DAC" w14:textId="6A7D9947" w:rsidR="00876FAD" w:rsidRPr="007B55D8" w:rsidRDefault="00876FAD" w:rsidP="00CA4D68">
      <w:pPr>
        <w:rPr>
          <w:rFonts w:ascii="Yu Gothic UI Light" w:eastAsia="Yu Gothic UI Light" w:hAnsi="Yu Gothic UI Light"/>
        </w:rPr>
      </w:pPr>
      <w:r w:rsidRPr="007B55D8">
        <w:rPr>
          <w:rFonts w:ascii="Yu Gothic UI Light" w:eastAsia="Yu Gothic UI Light" w:hAnsi="Yu Gothic UI Light"/>
        </w:rPr>
        <w:t>The Form 990 series is due by the 15</w:t>
      </w:r>
      <w:r w:rsidRPr="007B55D8">
        <w:rPr>
          <w:rFonts w:ascii="Yu Gothic UI Light" w:eastAsia="Yu Gothic UI Light" w:hAnsi="Yu Gothic UI Light"/>
          <w:vertAlign w:val="superscript"/>
        </w:rPr>
        <w:t>th</w:t>
      </w:r>
      <w:r w:rsidRPr="007B55D8">
        <w:rPr>
          <w:rFonts w:ascii="Yu Gothic UI Light" w:eastAsia="Yu Gothic UI Light" w:hAnsi="Yu Gothic UI Light"/>
        </w:rPr>
        <w:t xml:space="preserve"> day of the 5</w:t>
      </w:r>
      <w:r w:rsidRPr="007B55D8">
        <w:rPr>
          <w:rFonts w:ascii="Yu Gothic UI Light" w:eastAsia="Yu Gothic UI Light" w:hAnsi="Yu Gothic UI Light"/>
          <w:vertAlign w:val="superscript"/>
        </w:rPr>
        <w:t>th</w:t>
      </w:r>
      <w:r w:rsidRPr="007B55D8">
        <w:rPr>
          <w:rFonts w:ascii="Yu Gothic UI Light" w:eastAsia="Yu Gothic UI Light" w:hAnsi="Yu Gothic UI Light"/>
        </w:rPr>
        <w:t xml:space="preserve"> month after the close of the tax year.  For example, if your organization has a calendar year close (12/31), the 990 is due on May 15</w:t>
      </w:r>
      <w:r w:rsidRPr="007B55D8">
        <w:rPr>
          <w:rFonts w:ascii="Yu Gothic UI Light" w:eastAsia="Yu Gothic UI Light" w:hAnsi="Yu Gothic UI Light"/>
          <w:vertAlign w:val="superscript"/>
        </w:rPr>
        <w:t>th</w:t>
      </w:r>
      <w:r w:rsidRPr="007B55D8">
        <w:rPr>
          <w:rFonts w:ascii="Yu Gothic UI Light" w:eastAsia="Yu Gothic UI Light" w:hAnsi="Yu Gothic UI Light"/>
        </w:rPr>
        <w:t xml:space="preserve"> of the following year.  A fiscal year ending June 30</w:t>
      </w:r>
      <w:r w:rsidRPr="007B55D8">
        <w:rPr>
          <w:rFonts w:ascii="Yu Gothic UI Light" w:eastAsia="Yu Gothic UI Light" w:hAnsi="Yu Gothic UI Light"/>
          <w:vertAlign w:val="superscript"/>
        </w:rPr>
        <w:t>th</w:t>
      </w:r>
      <w:r w:rsidRPr="007B55D8">
        <w:rPr>
          <w:rFonts w:ascii="Yu Gothic UI Light" w:eastAsia="Yu Gothic UI Light" w:hAnsi="Yu Gothic UI Light"/>
        </w:rPr>
        <w:t xml:space="preserve"> return will be due on November 15</w:t>
      </w:r>
      <w:r w:rsidRPr="007B55D8">
        <w:rPr>
          <w:rFonts w:ascii="Yu Gothic UI Light" w:eastAsia="Yu Gothic UI Light" w:hAnsi="Yu Gothic UI Light"/>
          <w:vertAlign w:val="superscript"/>
        </w:rPr>
        <w:t>th</w:t>
      </w:r>
      <w:r w:rsidRPr="007B55D8">
        <w:rPr>
          <w:rFonts w:ascii="Yu Gothic UI Light" w:eastAsia="Yu Gothic UI Light" w:hAnsi="Yu Gothic UI Light"/>
        </w:rPr>
        <w:t>.  Organizations that fail to file for three consecutive years will automatically lose their tax-exempt status.</w:t>
      </w:r>
    </w:p>
    <w:p w14:paraId="6F6E2669" w14:textId="27B54416" w:rsidR="00876FAD" w:rsidRPr="007B55D8" w:rsidRDefault="00CF267C" w:rsidP="00CA4D68">
      <w:pPr>
        <w:rPr>
          <w:rFonts w:ascii="Yu Gothic UI Light" w:eastAsia="Yu Gothic UI Light" w:hAnsi="Yu Gothic UI Light"/>
        </w:rPr>
      </w:pPr>
      <w:r w:rsidRPr="007B55D8">
        <w:rPr>
          <w:rFonts w:ascii="Yu Gothic UI Light" w:eastAsia="Yu Gothic UI Light" w:hAnsi="Yu Gothic UI Light"/>
        </w:rPr>
        <w:lastRenderedPageBreak/>
        <w:t>Check out this link to our calendar:</w:t>
      </w:r>
    </w:p>
    <w:p w14:paraId="196B8030" w14:textId="77777777" w:rsidR="00CF267C" w:rsidRPr="007B55D8" w:rsidRDefault="00CF267C" w:rsidP="00CF267C">
      <w:pPr>
        <w:jc w:val="center"/>
        <w:rPr>
          <w:rFonts w:ascii="Yu Gothic UI Light" w:eastAsia="Yu Gothic UI Light" w:hAnsi="Yu Gothic UI Light"/>
          <w:b/>
          <w:bCs/>
          <w:kern w:val="2"/>
          <w:sz w:val="28"/>
          <w:szCs w:val="28"/>
          <w14:ligatures w14:val="standardContextual"/>
        </w:rPr>
      </w:pPr>
      <w:r w:rsidRPr="007B55D8">
        <w:rPr>
          <w:rFonts w:ascii="Yu Gothic UI Light" w:eastAsia="Yu Gothic UI Light" w:hAnsi="Yu Gothic UI Light"/>
          <w:b/>
          <w:bCs/>
          <w:kern w:val="2"/>
          <w:sz w:val="28"/>
          <w:szCs w:val="28"/>
          <w14:ligatures w14:val="standardContextual"/>
        </w:rPr>
        <w:t>Important Takeaways</w:t>
      </w:r>
    </w:p>
    <w:p w14:paraId="4C217E3D" w14:textId="5F2E4881" w:rsidR="00CF267C" w:rsidRPr="002B7F30" w:rsidRDefault="00CF267C" w:rsidP="00CF267C">
      <w:pPr>
        <w:numPr>
          <w:ilvl w:val="0"/>
          <w:numId w:val="1"/>
        </w:numPr>
        <w:contextualSpacing/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</w:pPr>
      <w:r w:rsidRPr="002B7F30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>Booster clubs may be exempt from federal tax, but they ARE NOT exempt from filing an annual return.</w:t>
      </w:r>
    </w:p>
    <w:p w14:paraId="1A5C2C04" w14:textId="292C4E71" w:rsidR="00876FAD" w:rsidRPr="002B7F30" w:rsidRDefault="00CF267C" w:rsidP="00110E3F">
      <w:pPr>
        <w:numPr>
          <w:ilvl w:val="0"/>
          <w:numId w:val="1"/>
        </w:numPr>
        <w:contextualSpacing/>
        <w:rPr>
          <w:rFonts w:ascii="Yu Gothic UI Light" w:eastAsia="Yu Gothic UI Light" w:hAnsi="Yu Gothic UI Light"/>
          <w:sz w:val="28"/>
          <w:szCs w:val="28"/>
        </w:rPr>
      </w:pPr>
      <w:r w:rsidRPr="002B7F30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 xml:space="preserve">The bigger the organization, the more complicated the return. If your organization raises more than $50,000 per year, you may want to hire a professional </w:t>
      </w:r>
      <w:proofErr w:type="gramStart"/>
      <w:r w:rsidRPr="002B7F30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>for</w:t>
      </w:r>
      <w:proofErr w:type="gramEnd"/>
      <w:r w:rsidRPr="002B7F30">
        <w:rPr>
          <w:rFonts w:ascii="Yu Gothic UI Light" w:eastAsia="Yu Gothic UI Light" w:hAnsi="Yu Gothic UI Light"/>
          <w:i/>
          <w:iCs/>
          <w:kern w:val="2"/>
          <w:sz w:val="28"/>
          <w:szCs w:val="28"/>
          <w14:ligatures w14:val="standardContextual"/>
        </w:rPr>
        <w:t xml:space="preserve"> help.</w:t>
      </w:r>
    </w:p>
    <w:p w14:paraId="16AC2094" w14:textId="77777777" w:rsidR="00E057D6" w:rsidRPr="00E057D6" w:rsidRDefault="00E057D6" w:rsidP="00E057D6">
      <w:pPr>
        <w:ind w:left="720"/>
        <w:contextualSpacing/>
        <w:rPr>
          <w:rFonts w:ascii="Yu Gothic UI Light" w:eastAsia="Yu Gothic UI Light" w:hAnsi="Yu Gothic UI Light"/>
        </w:rPr>
      </w:pPr>
    </w:p>
    <w:p w14:paraId="0871FFA9" w14:textId="1928E1D7" w:rsidR="00CA4D68" w:rsidRDefault="00066905">
      <w:r>
        <w:rPr>
          <w:noProof/>
        </w:rPr>
        <w:drawing>
          <wp:inline distT="0" distB="0" distL="0" distR="0" wp14:anchorId="6B499C45" wp14:editId="105E3415">
            <wp:extent cx="5943600" cy="3963670"/>
            <wp:effectExtent l="0" t="0" r="0" b="0"/>
            <wp:docPr id="1091764320" name="Picture 2" descr="A calculator and pencil on pap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64320" name="Picture 2" descr="A calculator and pencil on pap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51E8"/>
    <w:multiLevelType w:val="hybridMultilevel"/>
    <w:tmpl w:val="ED4E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34"/>
    <w:rsid w:val="00066905"/>
    <w:rsid w:val="00123B5A"/>
    <w:rsid w:val="002B7F30"/>
    <w:rsid w:val="00473A12"/>
    <w:rsid w:val="004B77B2"/>
    <w:rsid w:val="005467C2"/>
    <w:rsid w:val="006E3DAD"/>
    <w:rsid w:val="00742E88"/>
    <w:rsid w:val="00743740"/>
    <w:rsid w:val="007B55D8"/>
    <w:rsid w:val="00876FAD"/>
    <w:rsid w:val="009931ED"/>
    <w:rsid w:val="009B2F05"/>
    <w:rsid w:val="00B57E34"/>
    <w:rsid w:val="00BD6D81"/>
    <w:rsid w:val="00CA4D68"/>
    <w:rsid w:val="00CF267C"/>
    <w:rsid w:val="00E057D6"/>
    <w:rsid w:val="00EB28B7"/>
    <w:rsid w:val="00E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4E4"/>
  <w15:chartTrackingRefBased/>
  <w15:docId w15:val="{BBCB70D5-AC80-4C98-810E-8A588D07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shaila chamberlain</dc:creator>
  <cp:keywords/>
  <dc:description/>
  <cp:lastModifiedBy>Claire Blanchet</cp:lastModifiedBy>
  <cp:revision>10</cp:revision>
  <dcterms:created xsi:type="dcterms:W3CDTF">2023-05-17T04:22:00Z</dcterms:created>
  <dcterms:modified xsi:type="dcterms:W3CDTF">2023-06-05T02:52:00Z</dcterms:modified>
</cp:coreProperties>
</file>